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  <w:r>
        <w:rPr>
          <w:outline w:val="0"/>
          <w:color w:val="ee220c"/>
          <w:u w:color="ee220c"/>
          <w:rtl w:val="0"/>
          <w:lang w:val="en-US"/>
          <w14:textFill>
            <w14:solidFill>
              <w14:srgbClr w14:val="EE220C"/>
            </w14:solidFill>
          </w14:textFill>
        </w:rPr>
        <w:t>Front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Remote access software can be invaluable for small businesses. Yet the threat of network exposure is very real.</w:t>
      </w: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rtl w:val="0"/>
          <w:lang w:val="en-US"/>
        </w:rPr>
        <w:t>You don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t have to choose between convenience and security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enjoy both with Gatekeeper.</w:t>
      </w:r>
    </w:p>
    <w:p>
      <w:pPr>
        <w:pStyle w:val="Body A"/>
      </w:pPr>
    </w:p>
    <w:p>
      <w:pPr>
        <w:pStyle w:val="Body A"/>
      </w:pPr>
    </w:p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</w:p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</w:p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</w:p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</w:p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  <w:r>
        <w:rPr>
          <w:outline w:val="0"/>
          <w:color w:val="ee220c"/>
          <w:u w:color="ee220c"/>
          <w:rtl w:val="0"/>
          <w:lang w:val="en-US"/>
          <w14:textFill>
            <w14:solidFill>
              <w14:srgbClr w14:val="EE220C"/>
            </w14:solidFill>
          </w14:textFill>
        </w:rPr>
        <w:t>Back</w:t>
      </w:r>
    </w:p>
    <w:p>
      <w:pPr>
        <w:pStyle w:val="Heading 2"/>
      </w:pPr>
    </w:p>
    <w:p>
      <w:pPr>
        <w:pStyle w:val="Title"/>
        <w:rPr>
          <w:rFonts w:ascii="Times Roman" w:cs="Times Roman" w:hAnsi="Times Roman" w:eastAsia="Times Roman"/>
          <w:b w:val="0"/>
          <w:bCs w:val="0"/>
          <w:sz w:val="24"/>
          <w:szCs w:val="24"/>
        </w:rPr>
      </w:pPr>
      <w:r>
        <w:rPr>
          <w:rtl w:val="0"/>
          <w:lang w:val="en-US"/>
        </w:rPr>
        <w:t xml:space="preserve">Security and Convenience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 xml:space="preserve">Simple with Gatekeeper </w:t>
      </w:r>
    </w:p>
    <w:p>
      <w:pPr>
        <w:pStyle w:val="Body A"/>
        <w:rPr>
          <w:rFonts w:ascii="Times Roman" w:cs="Times Roman" w:hAnsi="Times Roman" w:eastAsia="Times Roman"/>
        </w:rPr>
      </w:pPr>
    </w:p>
    <w:p>
      <w:pPr>
        <w:pStyle w:val="Body A"/>
      </w:pPr>
      <w:r>
        <w:rPr>
          <w:rtl w:val="0"/>
          <w:lang w:val="en-US"/>
        </w:rPr>
        <w:t>You need a convenient, affordable, and reliable</w:t>
      </w:r>
      <w:r>
        <w:rPr>
          <w:rtl w:val="0"/>
          <w:lang w:val="en-US"/>
        </w:rPr>
        <w:t xml:space="preserve"> solution.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Adopt Zero Trust Network Access to secure 2FA </w:t>
      </w:r>
      <w:r>
        <w:rPr>
          <w:rtl w:val="0"/>
          <w:lang w:val="en-US"/>
        </w:rPr>
        <w:t xml:space="preserve">solution to secure </w:t>
      </w:r>
      <w:r>
        <w:rPr>
          <w:rtl w:val="0"/>
          <w:lang w:val="en-US"/>
        </w:rPr>
        <w:t>RDP, SSH and more!</w:t>
      </w:r>
    </w:p>
    <w:p>
      <w:pPr>
        <w:pStyle w:val="Body A"/>
      </w:pPr>
    </w:p>
    <w:p>
      <w:pPr>
        <w:pStyle w:val="Body A"/>
      </w:pPr>
      <w:r>
        <w:rPr>
          <w:rtl w:val="0"/>
          <w:lang w:val="nl-NL"/>
        </w:rPr>
        <w:t>Gatekeeper</w:t>
      </w:r>
      <w:r>
        <w:rPr>
          <w:rtl w:val="0"/>
          <w:lang w:val="en-US"/>
        </w:rPr>
        <w:t>, a feature of Calyptix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tl w:val="0"/>
          <w:lang w:val="en-US"/>
        </w:rPr>
        <w:t>s AccessEnforcer v5.0 and later, shields systems from the public Internet, unauthorized users, stolen credentials, probes, scans, botnets, brute force, targeted attacks and more.</w:t>
      </w:r>
    </w:p>
    <w:p>
      <w:pPr>
        <w:pStyle w:val="Body A"/>
      </w:pPr>
    </w:p>
    <w:p>
      <w:pPr>
        <w:pStyle w:val="Heading 2"/>
      </w:pPr>
      <w:r>
        <w:rPr>
          <w:rFonts w:cs="Arial Unicode MS" w:eastAsia="Arial Unicode MS"/>
          <w:rtl w:val="0"/>
          <w:lang w:val="en-US"/>
        </w:rPr>
        <w:t>Gatekeeper Benefit</w:t>
      </w:r>
      <w:r>
        <w:rPr>
          <w:rFonts w:cs="Arial Unicode MS" w:eastAsia="Arial Unicode MS"/>
          <w:rtl w:val="0"/>
          <w:lang w:val="en-US"/>
        </w:rPr>
        <w:t>s</w:t>
      </w:r>
    </w:p>
    <w:p>
      <w:pPr>
        <w:pStyle w:val="Body"/>
        <w:numPr>
          <w:ilvl w:val="0"/>
          <w:numId w:val="2"/>
        </w:numPr>
      </w:pPr>
      <w:r>
        <w:rPr>
          <w:rtl w:val="0"/>
        </w:rPr>
        <w:t xml:space="preserve">Client-less </w:t>
      </w:r>
    </w:p>
    <w:p>
      <w:pPr>
        <w:pStyle w:val="Body"/>
        <w:numPr>
          <w:ilvl w:val="0"/>
          <w:numId w:val="2"/>
        </w:numPr>
      </w:pPr>
      <w:r>
        <w:rPr>
          <w:rtl w:val="0"/>
        </w:rPr>
        <w:t>No VPN overhead</w:t>
      </w:r>
    </w:p>
    <w:p>
      <w:pPr>
        <w:pStyle w:val="Body"/>
        <w:numPr>
          <w:ilvl w:val="0"/>
          <w:numId w:val="2"/>
        </w:numPr>
      </w:pPr>
      <w:r>
        <w:rPr>
          <w:rtl w:val="0"/>
        </w:rPr>
        <w:t xml:space="preserve">Auditor-friendly </w:t>
      </w:r>
    </w:p>
    <w:p>
      <w:pPr>
        <w:pStyle w:val="Body"/>
        <w:numPr>
          <w:ilvl w:val="0"/>
          <w:numId w:val="2"/>
        </w:numPr>
      </w:pPr>
      <w:r>
        <w:rPr>
          <w:rtl w:val="0"/>
        </w:rPr>
        <w:t xml:space="preserve">Single page listing of hosts user can access </w:t>
      </w:r>
    </w:p>
    <w:p>
      <w:pPr>
        <w:pStyle w:val="Body"/>
        <w:numPr>
          <w:ilvl w:val="0"/>
          <w:numId w:val="2"/>
        </w:numPr>
      </w:pPr>
      <w:r>
        <w:rPr>
          <w:rtl w:val="0"/>
        </w:rPr>
        <w:t>Works with Windows, iOS, Android &amp; more</w:t>
      </w:r>
      <w:r>
        <w:br w:type="textWrapping"/>
      </w:r>
    </w:p>
    <w:p>
      <w:pPr>
        <w:pStyle w:val="Body A"/>
      </w:pPr>
      <w:r>
        <w:rPr>
          <w:rtl w:val="0"/>
          <w:lang w:val="en-US"/>
        </w:rPr>
        <w:t>Gatekeeper addresses compliance requirements and facilitates adoption of best practices, including many outlined by NIST 800-53 and NIST 800-171.</w:t>
      </w:r>
    </w:p>
    <w:p>
      <w:pPr>
        <w:pStyle w:val="Body A"/>
        <w:numPr>
          <w:ilvl w:val="0"/>
          <w:numId w:val="4"/>
        </w:numPr>
      </w:pPr>
    </w:p>
    <w:p>
      <w:pPr>
        <w:pStyle w:val="Body A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 xml:space="preserve">Questions about Gatekeeper? Contact us: 704.900.0422 | www.calyptix.com </w:t>
      </w: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Graphi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54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6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8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0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2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4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86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08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01" w:hanging="321"/>
      </w:pPr>
      <w:rPr>
        <w:rFonts w:ascii="Graphik" w:cs="Graphik" w:hAnsi="Graphik" w:eastAsia="Graphik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Heading 2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4"/>
      <w:szCs w:val="3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6"/>
      <w:szCs w:val="66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1"/>
      </w:numPr>
    </w:pPr>
  </w:style>
  <w:style w:type="numbering" w:styleId="Bullet">
    <w:name w:val="Bullet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